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5" w:type="dxa"/>
        <w:tblCellMar>
          <w:left w:w="0" w:type="dxa"/>
          <w:right w:w="0" w:type="dxa"/>
        </w:tblCellMar>
        <w:tblLook w:val="04A0" w:firstRow="1" w:lastRow="0" w:firstColumn="1" w:lastColumn="0" w:noHBand="0" w:noVBand="1"/>
      </w:tblPr>
      <w:tblGrid>
        <w:gridCol w:w="1381"/>
        <w:gridCol w:w="2342"/>
        <w:gridCol w:w="1561"/>
        <w:gridCol w:w="1756"/>
        <w:gridCol w:w="1365"/>
        <w:gridCol w:w="1171"/>
      </w:tblGrid>
      <w:tr w:rsidR="004F1A39" w:rsidRPr="004F1A39" w:rsidTr="004F1A39">
        <w:trPr>
          <w:trHeight w:val="775"/>
        </w:trPr>
        <w:tc>
          <w:tcPr>
            <w:tcW w:w="7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outlineLvl w:val="2"/>
              <w:rPr>
                <w:rFonts w:ascii="Trebuchet MS" w:eastAsia="Times New Roman" w:hAnsi="Trebuchet MS" w:cs="Arial"/>
                <w:b/>
                <w:bCs/>
                <w:color w:val="4E5843"/>
                <w:sz w:val="24"/>
                <w:szCs w:val="24"/>
              </w:rPr>
            </w:pPr>
            <w:r w:rsidRPr="004F1A39">
              <w:rPr>
                <w:rFonts w:ascii="Trebuchet MS" w:eastAsia="Times New Roman" w:hAnsi="Trebuchet MS" w:cs="Arial"/>
                <w:b/>
                <w:bCs/>
                <w:color w:val="000000"/>
                <w:sz w:val="18"/>
                <w:szCs w:val="18"/>
              </w:rPr>
              <w:t>Committee</w:t>
            </w:r>
          </w:p>
        </w:tc>
        <w:tc>
          <w:tcPr>
            <w:tcW w:w="1200" w:type="pct"/>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outlineLvl w:val="2"/>
              <w:rPr>
                <w:rFonts w:ascii="Trebuchet MS" w:eastAsia="Times New Roman" w:hAnsi="Trebuchet MS" w:cs="Arial"/>
                <w:b/>
                <w:bCs/>
                <w:color w:val="4E5843"/>
                <w:sz w:val="24"/>
                <w:szCs w:val="24"/>
              </w:rPr>
            </w:pPr>
            <w:r w:rsidRPr="004F1A39">
              <w:rPr>
                <w:rFonts w:ascii="Trebuchet MS" w:eastAsia="Times New Roman" w:hAnsi="Trebuchet MS" w:cs="Arial"/>
                <w:b/>
                <w:bCs/>
                <w:color w:val="000000"/>
                <w:sz w:val="18"/>
                <w:szCs w:val="18"/>
              </w:rPr>
              <w:t>Purpose</w:t>
            </w:r>
          </w:p>
        </w:tc>
        <w:tc>
          <w:tcPr>
            <w:tcW w:w="800" w:type="pct"/>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outlineLvl w:val="2"/>
              <w:rPr>
                <w:rFonts w:ascii="Trebuchet MS" w:eastAsia="Times New Roman" w:hAnsi="Trebuchet MS" w:cs="Arial"/>
                <w:b/>
                <w:bCs/>
                <w:color w:val="4E5843"/>
                <w:sz w:val="24"/>
                <w:szCs w:val="24"/>
              </w:rPr>
            </w:pPr>
            <w:r w:rsidRPr="004F1A39">
              <w:rPr>
                <w:rFonts w:ascii="Trebuchet MS" w:eastAsia="Times New Roman" w:hAnsi="Trebuchet MS" w:cs="Arial"/>
                <w:b/>
                <w:bCs/>
                <w:color w:val="000000"/>
                <w:sz w:val="18"/>
                <w:szCs w:val="18"/>
              </w:rPr>
              <w:t>Faculty /Administration Membership</w:t>
            </w:r>
          </w:p>
        </w:tc>
        <w:tc>
          <w:tcPr>
            <w:tcW w:w="900" w:type="pct"/>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outlineLvl w:val="2"/>
              <w:rPr>
                <w:rFonts w:ascii="Trebuchet MS" w:eastAsia="Times New Roman" w:hAnsi="Trebuchet MS" w:cs="Arial"/>
                <w:b/>
                <w:bCs/>
                <w:color w:val="4E5843"/>
                <w:sz w:val="24"/>
                <w:szCs w:val="24"/>
              </w:rPr>
            </w:pPr>
            <w:r w:rsidRPr="004F1A39">
              <w:rPr>
                <w:rFonts w:ascii="Trebuchet MS" w:eastAsia="Times New Roman" w:hAnsi="Trebuchet MS" w:cs="Arial"/>
                <w:b/>
                <w:bCs/>
                <w:color w:val="000000"/>
                <w:sz w:val="18"/>
                <w:szCs w:val="18"/>
              </w:rPr>
              <w:t>Student Representation</w:t>
            </w:r>
          </w:p>
        </w:tc>
        <w:tc>
          <w:tcPr>
            <w:tcW w:w="700" w:type="pct"/>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outlineLvl w:val="2"/>
              <w:rPr>
                <w:rFonts w:ascii="Trebuchet MS" w:eastAsia="Times New Roman" w:hAnsi="Trebuchet MS" w:cs="Arial"/>
                <w:b/>
                <w:bCs/>
                <w:color w:val="4E5843"/>
                <w:sz w:val="24"/>
                <w:szCs w:val="24"/>
              </w:rPr>
            </w:pPr>
            <w:r w:rsidRPr="004F1A39">
              <w:rPr>
                <w:rFonts w:ascii="Trebuchet MS" w:eastAsia="Times New Roman" w:hAnsi="Trebuchet MS" w:cs="Arial"/>
                <w:b/>
                <w:bCs/>
                <w:color w:val="000000"/>
                <w:sz w:val="18"/>
                <w:szCs w:val="18"/>
              </w:rPr>
              <w:t>Who to contact</w:t>
            </w:r>
          </w:p>
        </w:tc>
        <w:tc>
          <w:tcPr>
            <w:tcW w:w="600" w:type="pct"/>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outlineLvl w:val="2"/>
              <w:rPr>
                <w:rFonts w:ascii="Trebuchet MS" w:eastAsia="Times New Roman" w:hAnsi="Trebuchet MS" w:cs="Arial"/>
                <w:b/>
                <w:bCs/>
                <w:color w:val="4E5843"/>
                <w:sz w:val="24"/>
                <w:szCs w:val="24"/>
              </w:rPr>
            </w:pPr>
            <w:r w:rsidRPr="004F1A39">
              <w:rPr>
                <w:rFonts w:ascii="Trebuchet MS" w:eastAsia="Times New Roman" w:hAnsi="Trebuchet MS" w:cs="Arial"/>
                <w:b/>
                <w:bCs/>
                <w:color w:val="000000"/>
                <w:sz w:val="18"/>
                <w:szCs w:val="18"/>
              </w:rPr>
              <w:t>Frequency</w:t>
            </w:r>
          </w:p>
        </w:tc>
      </w:tr>
      <w:tr w:rsidR="004F1A39" w:rsidRPr="004F1A39" w:rsidTr="004F1A39">
        <w:trPr>
          <w:trHeight w:val="3043"/>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Clinic Therapeutics Committee</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The Clinical Therapeutics Committee (CTC) is an advice giving body focuses on issues relating to clinical safety and efficacy in CCNM’s teaching clinics. It advises the Chief Naturopathic Medical Officer on: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 Clinical best practices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 Standards of clinical care</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 Medical record keeping standards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 Assessment/Diagnostic procedures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 Therapies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 Whether specific clinical therapies should be permitted to be performed in the RSNC</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Dean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Three Associate Deans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CNMO</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Research</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Research Fellow</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Legal Counsel</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Faculty representatives</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2 students (4th year)</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Assistant to the Dean</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Monthly</w:t>
            </w:r>
          </w:p>
        </w:tc>
        <w:bookmarkStart w:id="0" w:name="_GoBack"/>
        <w:bookmarkEnd w:id="0"/>
      </w:tr>
      <w:tr w:rsidR="004F1A39" w:rsidRPr="004F1A39" w:rsidTr="004F1A39">
        <w:trPr>
          <w:trHeight w:val="4043"/>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Continuing Education Council</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Review and recommend for approval some room rentals, all CE courses, certificate programs, diploma programs, and degree programs delivered on a part-time basis, either in time/place bound delivery formats or via distance learning methodologies</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President</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CNMO</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Dean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Three Associate Deans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Legal Counsel</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Advancement</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Coordinator, Advancement</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Marketing &amp; Communications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Executive Director, CAND</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Associate Director, Student Services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One ND</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1 student (Years 1-4)</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Coordinator, Advancement</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Every 2 Months</w:t>
            </w:r>
          </w:p>
        </w:tc>
      </w:tr>
      <w:tr w:rsidR="004F1A39" w:rsidRPr="004F1A39" w:rsidTr="004F1A39">
        <w:trPr>
          <w:trHeight w:val="2795"/>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Environmental Committee for a Sustainable Campus</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For discussion and review of CCNM’s short and long term operations and projects, where relative to environmental implications, and responsible for introducing environmentally beneficial campaigns, goals and alternatives to CCNM, and ensuring they are communicated to all constituents.</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One Executive Committee</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Two Faculty</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Four Administration</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4 Students (Years 1-4)</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Two NSA</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Human Resources</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Monthly, except May and December</w:t>
            </w:r>
          </w:p>
        </w:tc>
      </w:tr>
      <w:tr w:rsidR="004F1A39" w:rsidRPr="004F1A39" w:rsidTr="004F1A39">
        <w:trPr>
          <w:trHeight w:val="1220"/>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lastRenderedPageBreak/>
              <w:t>Food Services</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To advise the college with respect to all aspects of the operation of the cafeteria.</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Human Resources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Operator of the Cafe</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One faculty</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3 students (Years 1-4)</w:t>
            </w:r>
          </w:p>
          <w:p w:rsidR="004F1A39" w:rsidRPr="004F1A39" w:rsidRDefault="004F1A39" w:rsidP="004F1A39">
            <w:pPr>
              <w:spacing w:before="75" w:after="300" w:line="240" w:lineRule="auto"/>
              <w:rPr>
                <w:rFonts w:ascii="Arial" w:eastAsia="Times New Roman" w:hAnsi="Arial" w:cs="Arial"/>
                <w:color w:val="7D7D7D"/>
                <w:sz w:val="18"/>
                <w:szCs w:val="18"/>
              </w:rPr>
            </w:pPr>
            <w:r w:rsidRPr="004F1A39">
              <w:rPr>
                <w:rFonts w:ascii="Arial" w:eastAsia="Times New Roman" w:hAnsi="Arial" w:cs="Arial"/>
                <w:color w:val="7D7D7D"/>
                <w:sz w:val="18"/>
                <w:szCs w:val="18"/>
              </w:rPr>
              <w:t> </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Human Resources</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Monthly</w:t>
            </w:r>
          </w:p>
        </w:tc>
      </w:tr>
      <w:tr w:rsidR="004F1A39" w:rsidRPr="004F1A39" w:rsidTr="004F1A39">
        <w:trPr>
          <w:trHeight w:val="2059"/>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Program Advisory Committee</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Advise CCNM with respect to the appropriate content for the ND program.</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Registered practicing NDs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Note - Academic administrators and faculty may also be in attendance but they are not members</w:t>
            </w:r>
          </w:p>
          <w:p w:rsidR="004F1A39" w:rsidRPr="004F1A39" w:rsidRDefault="004F1A39" w:rsidP="004F1A39">
            <w:pPr>
              <w:spacing w:before="75" w:after="300" w:line="240" w:lineRule="auto"/>
              <w:rPr>
                <w:rFonts w:ascii="Arial" w:eastAsia="Times New Roman" w:hAnsi="Arial" w:cs="Arial"/>
                <w:color w:val="7D7D7D"/>
                <w:sz w:val="18"/>
                <w:szCs w:val="18"/>
              </w:rPr>
            </w:pPr>
            <w:r w:rsidRPr="004F1A39">
              <w:rPr>
                <w:rFonts w:ascii="Arial" w:eastAsia="Times New Roman" w:hAnsi="Arial" w:cs="Arial"/>
                <w:color w:val="7D7D7D"/>
                <w:sz w:val="18"/>
                <w:szCs w:val="18"/>
              </w:rPr>
              <w:t> </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2 students (Years 1-4)</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Note - Academic administrators, faculty and students may also be in attendance but they are not members</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Assistant to the Dean</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Three to four times per year</w:t>
            </w:r>
          </w:p>
        </w:tc>
      </w:tr>
      <w:tr w:rsidR="004F1A39" w:rsidRPr="004F1A39" w:rsidTr="004F1A39">
        <w:trPr>
          <w:trHeight w:val="2541"/>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Research Ethics Board</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Reviews research proposals involving human subjects to ensure that such research is carried out in accordance with the policies of the Canadian Institutes of Health Research and the policies of CCNM</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Legal Counsel</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Dean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CNMO</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Institutional Development &amp; Research</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Faculty</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External Members</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May include up to 2 students</w:t>
            </w:r>
          </w:p>
          <w:p w:rsidR="004F1A39" w:rsidRPr="004F1A39" w:rsidRDefault="004F1A39" w:rsidP="004F1A39">
            <w:pPr>
              <w:spacing w:before="75" w:after="300" w:line="240" w:lineRule="auto"/>
              <w:rPr>
                <w:rFonts w:ascii="Arial" w:eastAsia="Times New Roman" w:hAnsi="Arial" w:cs="Arial"/>
                <w:color w:val="7D7D7D"/>
                <w:sz w:val="18"/>
                <w:szCs w:val="18"/>
              </w:rPr>
            </w:pPr>
            <w:r w:rsidRPr="004F1A39">
              <w:rPr>
                <w:rFonts w:ascii="Arial" w:eastAsia="Times New Roman" w:hAnsi="Arial" w:cs="Arial"/>
                <w:color w:val="7D7D7D"/>
                <w:sz w:val="18"/>
                <w:szCs w:val="18"/>
              </w:rPr>
              <w:t> </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Legal Counsel</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4 times per year</w:t>
            </w:r>
          </w:p>
        </w:tc>
      </w:tr>
      <w:tr w:rsidR="004F1A39" w:rsidRPr="004F1A39" w:rsidTr="004F1A39">
        <w:trPr>
          <w:trHeight w:val="2238"/>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Research Committee</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Guides, promotes and fosters research involving faculty, students and staff, and ensures appropriate education in research is available for students and faculty.</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President</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Institutional Development &amp; Research</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Research</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Research Resident</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Research Fellow</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One Associate Dean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Dean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3 faculty</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2 students</w:t>
            </w:r>
          </w:p>
        </w:tc>
        <w:tc>
          <w:tcPr>
            <w:tcW w:w="700" w:type="pct"/>
            <w:tcBorders>
              <w:top w:val="outset" w:sz="6" w:space="0" w:color="F0F0F0"/>
              <w:left w:val="outset" w:sz="6" w:space="0" w:color="F0F0F0"/>
              <w:bottom w:val="single" w:sz="8" w:space="0" w:color="000000"/>
              <w:right w:val="single" w:sz="6" w:space="0" w:color="F0F0F0"/>
            </w:tcBorders>
            <w:shd w:val="clear" w:color="auto" w:fill="auto"/>
            <w:tcMar>
              <w:top w:w="0" w:type="dxa"/>
              <w:left w:w="108" w:type="dxa"/>
              <w:bottom w:w="0" w:type="dxa"/>
              <w:right w:w="108" w:type="dxa"/>
            </w:tcMar>
            <w:hideMark/>
          </w:tcPr>
          <w:p w:rsidR="004F1A39" w:rsidRPr="004F1A39" w:rsidRDefault="004F1A39" w:rsidP="004F1A39">
            <w:pPr>
              <w:spacing w:before="75" w:after="300" w:line="240" w:lineRule="auto"/>
              <w:rPr>
                <w:rFonts w:ascii="Arial" w:eastAsia="Times New Roman" w:hAnsi="Arial" w:cs="Arial"/>
                <w:color w:val="7D7D7D"/>
                <w:sz w:val="18"/>
                <w:szCs w:val="18"/>
              </w:rPr>
            </w:pPr>
            <w:r w:rsidRPr="004F1A39">
              <w:rPr>
                <w:rFonts w:ascii="Arial" w:eastAsia="Times New Roman" w:hAnsi="Arial" w:cs="Arial"/>
                <w:color w:val="7D7D7D"/>
                <w:sz w:val="18"/>
                <w:szCs w:val="18"/>
              </w:rPr>
              <w:t> </w:t>
            </w:r>
          </w:p>
        </w:tc>
        <w:tc>
          <w:tcPr>
            <w:tcW w:w="6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Three to four times per year</w:t>
            </w:r>
          </w:p>
        </w:tc>
      </w:tr>
      <w:tr w:rsidR="004F1A39" w:rsidRPr="004F1A39" w:rsidTr="004F1A39">
        <w:trPr>
          <w:trHeight w:val="1524"/>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Residence Council</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Represent the residence body in all matters pertaining to the function and interests of the Community within the CCNM Residence.</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One Student Services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Residence Coordinator</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Two Residence Advisors</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10 CCNM Student Residents</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before="75" w:after="300" w:line="240" w:lineRule="auto"/>
              <w:rPr>
                <w:rFonts w:ascii="Arial" w:eastAsia="Times New Roman" w:hAnsi="Arial" w:cs="Arial"/>
                <w:color w:val="7D7D7D"/>
                <w:sz w:val="18"/>
                <w:szCs w:val="18"/>
              </w:rPr>
            </w:pPr>
            <w:r w:rsidRPr="004F1A39">
              <w:rPr>
                <w:rFonts w:ascii="Arial" w:eastAsia="Times New Roman" w:hAnsi="Arial" w:cs="Arial"/>
                <w:color w:val="7D7D7D"/>
                <w:sz w:val="18"/>
                <w:szCs w:val="18"/>
              </w:rPr>
              <w:t> </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Bi-weekly</w:t>
            </w:r>
          </w:p>
        </w:tc>
      </w:tr>
      <w:tr w:rsidR="004F1A39" w:rsidRPr="004F1A39" w:rsidTr="004F1A39">
        <w:trPr>
          <w:trHeight w:val="2795"/>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lastRenderedPageBreak/>
              <w:t>Standing Curriculum Committee</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Review curriculum content and delivery at the course level. Mainly on “how” curriculum is delivered; only examines “what” is taught to a minor extent.</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Dean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Three Associate Deans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CNMO</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Clinic Services Manager</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Institutional Development &amp; Research</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All Faculty</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Students are invited (Years 1-4)</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Academic Coordinator</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Monthly</w:t>
            </w:r>
          </w:p>
        </w:tc>
      </w:tr>
      <w:tr w:rsidR="004F1A39" w:rsidRPr="004F1A39" w:rsidTr="004F1A39">
        <w:trPr>
          <w:trHeight w:val="1017"/>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Town Halls</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To provide an opportunity for broad discussion on important issues.</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Employees</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Students</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before="75" w:after="300" w:line="240" w:lineRule="auto"/>
              <w:rPr>
                <w:rFonts w:ascii="Arial" w:eastAsia="Times New Roman" w:hAnsi="Arial" w:cs="Arial"/>
                <w:color w:val="7D7D7D"/>
                <w:sz w:val="18"/>
                <w:szCs w:val="18"/>
              </w:rPr>
            </w:pPr>
            <w:r w:rsidRPr="004F1A39">
              <w:rPr>
                <w:rFonts w:ascii="Arial" w:eastAsia="Times New Roman" w:hAnsi="Arial" w:cs="Arial"/>
                <w:color w:val="7D7D7D"/>
                <w:sz w:val="18"/>
                <w:szCs w:val="18"/>
              </w:rPr>
              <w:t> </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At the call of the President or NSA</w:t>
            </w:r>
          </w:p>
        </w:tc>
      </w:tr>
      <w:tr w:rsidR="004F1A39" w:rsidRPr="004F1A39" w:rsidTr="004F1A39">
        <w:trPr>
          <w:trHeight w:val="2965"/>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Curriculum Review Board</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 working group of the Standing Curriculum Committee who meets to evaluate submissions for changes to the curriculum; who provides and acquires feedback from the stakeholders they are representing for the submissions, and who makes recommendations to the SCC on these curriculum changes.</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AD-Curriculum</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Dean (non-voting)</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AD-Clinical Education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AD-Academic Delivery</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Registrar</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2 faculty members</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2 students representatives (includes the NSU Academics)</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Note: students are invited to submit curriculum change recommendations, and provide direct feedback to student reps after the initial meeting.</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Assistant to the Dean</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2x year</w:t>
            </w:r>
          </w:p>
        </w:tc>
      </w:tr>
      <w:tr w:rsidR="004F1A39" w:rsidRPr="004F1A39" w:rsidTr="004F1A39">
        <w:trPr>
          <w:trHeight w:val="2714"/>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ADNSA: Associate Dean/NSA</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ADNSA is designed to be an avenue for class representative, NSA VPs academic &amp; clinic, Associate Dean’s, Clinic Services Manager, and Office of Academic Affairs, to report on current efforts, deal timely with issues, improve &amp; foster for transparent governance &amp; communications, provide an avenue for inter-year class rep mentoring and for identifying and remedying pervasive issues that affect more than one year.</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AD-Clinical Education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AD-Academic Delivery</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AD-Curriculum</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Clinic Services Manager</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Academic Administrative Coordinator</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Class reps (Years 1-4)</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NSA (clinic, academics, others as appropriate)</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Coordinator,</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Office of Academic Affairs</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weekly</w:t>
            </w:r>
          </w:p>
        </w:tc>
      </w:tr>
      <w:tr w:rsidR="004F1A39" w:rsidRPr="004F1A39" w:rsidTr="004F1A39">
        <w:trPr>
          <w:trHeight w:val="1707"/>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Educational Speakers Series group</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 xml:space="preserve">To review nominations for potential speakers/educators to come to CCNM outside of dedicated classes (i.e. common time). This includes candidates for the Elders series. These candidates would have been put forward by </w:t>
            </w:r>
            <w:r w:rsidRPr="004F1A39">
              <w:rPr>
                <w:rFonts w:ascii="Trebuchet MS" w:eastAsia="Times New Roman" w:hAnsi="Trebuchet MS" w:cs="Arial"/>
                <w:color w:val="000000"/>
                <w:sz w:val="18"/>
                <w:szCs w:val="18"/>
              </w:rPr>
              <w:lastRenderedPageBreak/>
              <w:t>students, faculty, and companies.</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lastRenderedPageBreak/>
              <w:t>AD-Curriculum</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Director of Advancement</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Faculty representation (1 or 2)</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2 students (Years 1-4)</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AD-Curriculum</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2 x year</w:t>
            </w:r>
          </w:p>
        </w:tc>
      </w:tr>
      <w:tr w:rsidR="004F1A39" w:rsidRPr="004F1A39" w:rsidTr="004F1A39">
        <w:trPr>
          <w:trHeight w:val="2442"/>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lastRenderedPageBreak/>
              <w:t>Curriculum Working Groups</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 collaborative effort amongst faculty, administration and students, in identifying the essential learning outcomes in a specific modality stream. The objective is that the taught curriculum becomes aligned with the essential learning outcomes/competencies.</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AD-curriculum</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Dean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AD-academic delivery</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AD-clinic education</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Faculty associated with identified stream</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Clinic faculty</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2 students per curriculum working group (Years 1-4)</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Assistant to the Dean</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 xml:space="preserve">3-4 x </w:t>
            </w:r>
            <w:proofErr w:type="gramStart"/>
            <w:r w:rsidRPr="004F1A39">
              <w:rPr>
                <w:rFonts w:ascii="Trebuchet MS" w:eastAsia="Times New Roman" w:hAnsi="Trebuchet MS" w:cs="Arial"/>
                <w:color w:val="000000"/>
                <w:sz w:val="18"/>
                <w:szCs w:val="18"/>
              </w:rPr>
              <w:t>year</w:t>
            </w:r>
            <w:proofErr w:type="gramEnd"/>
            <w:r w:rsidRPr="004F1A39">
              <w:rPr>
                <w:rFonts w:ascii="Trebuchet MS" w:eastAsia="Times New Roman" w:hAnsi="Trebuchet MS" w:cs="Arial"/>
                <w:color w:val="000000"/>
                <w:sz w:val="18"/>
                <w:szCs w:val="18"/>
              </w:rPr>
              <w:t xml:space="preserve"> for each stream.</w:t>
            </w:r>
          </w:p>
        </w:tc>
      </w:tr>
      <w:tr w:rsidR="004F1A39" w:rsidRPr="004F1A39" w:rsidTr="004F1A39">
        <w:trPr>
          <w:trHeight w:val="1501"/>
        </w:trPr>
        <w:tc>
          <w:tcPr>
            <w:tcW w:w="700" w:type="pc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Student Morale Committee</w:t>
            </w:r>
          </w:p>
        </w:tc>
        <w:tc>
          <w:tcPr>
            <w:tcW w:w="12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 task force initiated to identify areas that may lower student morale at CCNM, and develop recommendations to support its increase.</w:t>
            </w:r>
          </w:p>
        </w:tc>
        <w:tc>
          <w:tcPr>
            <w:tcW w:w="8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AD-curriculum</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Identified stakeholders from Management Committee, Faculty, and staff</w:t>
            </w:r>
          </w:p>
        </w:tc>
        <w:tc>
          <w:tcPr>
            <w:tcW w:w="9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NSA-NSU president</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NSA-NSS president</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Student Advocate</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Chair of Council</w:t>
            </w:r>
          </w:p>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Internal Communications</w:t>
            </w:r>
          </w:p>
        </w:tc>
        <w:tc>
          <w:tcPr>
            <w:tcW w:w="7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Assistant to the Dean</w:t>
            </w:r>
          </w:p>
        </w:tc>
        <w:tc>
          <w:tcPr>
            <w:tcW w:w="600" w:type="pct"/>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4F1A39" w:rsidRPr="004F1A39" w:rsidRDefault="004F1A39" w:rsidP="004F1A39">
            <w:pPr>
              <w:spacing w:after="0" w:line="240" w:lineRule="auto"/>
              <w:rPr>
                <w:rFonts w:ascii="Arial" w:eastAsia="Times New Roman" w:hAnsi="Arial" w:cs="Arial"/>
                <w:color w:val="7D7D7D"/>
                <w:sz w:val="18"/>
                <w:szCs w:val="18"/>
              </w:rPr>
            </w:pPr>
            <w:r w:rsidRPr="004F1A39">
              <w:rPr>
                <w:rFonts w:ascii="Trebuchet MS" w:eastAsia="Times New Roman" w:hAnsi="Trebuchet MS" w:cs="Arial"/>
                <w:color w:val="000000"/>
                <w:sz w:val="18"/>
                <w:szCs w:val="18"/>
              </w:rPr>
              <w:t>As scheduled</w:t>
            </w:r>
          </w:p>
          <w:p w:rsidR="004F1A39" w:rsidRPr="004F1A39" w:rsidRDefault="004F1A39" w:rsidP="004F1A39">
            <w:pPr>
              <w:spacing w:after="0" w:line="240" w:lineRule="auto"/>
              <w:rPr>
                <w:rFonts w:ascii="Times New Roman" w:eastAsia="Times New Roman" w:hAnsi="Times New Roman" w:cs="Times New Roman"/>
                <w:sz w:val="20"/>
                <w:szCs w:val="20"/>
              </w:rPr>
            </w:pPr>
          </w:p>
        </w:tc>
      </w:tr>
    </w:tbl>
    <w:p w:rsidR="00CA5139" w:rsidRDefault="002D5B54" w:rsidP="004F1A39">
      <w:pPr>
        <w:pBdr>
          <w:top w:val="single" w:sz="4" w:space="1" w:color="auto"/>
          <w:left w:val="single" w:sz="4" w:space="4" w:color="auto"/>
          <w:bottom w:val="single" w:sz="4" w:space="1" w:color="auto"/>
          <w:right w:val="single" w:sz="4" w:space="4" w:color="auto"/>
          <w:between w:val="single" w:sz="4" w:space="1" w:color="auto"/>
          <w:bar w:val="single" w:sz="4" w:color="auto"/>
        </w:pBdr>
      </w:pPr>
    </w:p>
    <w:sectPr w:rsidR="00CA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39"/>
    <w:rsid w:val="002D5B54"/>
    <w:rsid w:val="004F1A39"/>
    <w:rsid w:val="00622E9F"/>
    <w:rsid w:val="006D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1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1A39"/>
    <w:rPr>
      <w:rFonts w:ascii="Times New Roman" w:eastAsia="Times New Roman" w:hAnsi="Times New Roman" w:cs="Times New Roman"/>
      <w:b/>
      <w:bCs/>
      <w:sz w:val="27"/>
      <w:szCs w:val="27"/>
    </w:rPr>
  </w:style>
  <w:style w:type="paragraph" w:styleId="NormalWeb">
    <w:name w:val="Normal (Web)"/>
    <w:basedOn w:val="Normal"/>
    <w:uiPriority w:val="99"/>
    <w:unhideWhenUsed/>
    <w:rsid w:val="004F1A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1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1A39"/>
    <w:rPr>
      <w:rFonts w:ascii="Times New Roman" w:eastAsia="Times New Roman" w:hAnsi="Times New Roman" w:cs="Times New Roman"/>
      <w:b/>
      <w:bCs/>
      <w:sz w:val="27"/>
      <w:szCs w:val="27"/>
    </w:rPr>
  </w:style>
  <w:style w:type="paragraph" w:styleId="NormalWeb">
    <w:name w:val="Normal (Web)"/>
    <w:basedOn w:val="Normal"/>
    <w:uiPriority w:val="99"/>
    <w:unhideWhenUsed/>
    <w:rsid w:val="004F1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2013-08-30T18:45:00Z</dcterms:created>
  <dcterms:modified xsi:type="dcterms:W3CDTF">2013-08-30T19:13:00Z</dcterms:modified>
</cp:coreProperties>
</file>